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3"/>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2342323" w:rsidR="00084C53" w:rsidRPr="00927263" w:rsidRDefault="006D49C0" w:rsidP="00281E94">
      <w:pPr>
        <w:pStyle w:val="a3"/>
        <w:ind w:left="7140" w:hangingChars="3400" w:hanging="7140"/>
        <w:jc w:val="right"/>
        <w:rPr>
          <w:rFonts w:eastAsia="新細明體"/>
          <w:spacing w:val="0"/>
          <w:sz w:val="21"/>
          <w:szCs w:val="21"/>
          <w:lang w:eastAsia="zh-TW"/>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927263">
        <w:rPr>
          <w:rFonts w:eastAsia="新細明體" w:hint="eastAsia"/>
          <w:spacing w:val="0"/>
          <w:sz w:val="21"/>
          <w:szCs w:val="21"/>
          <w:lang w:eastAsia="zh-TW"/>
        </w:rPr>
        <w:t>05</w:t>
      </w:r>
      <w:r w:rsidR="00636A92">
        <w:rPr>
          <w:spacing w:val="0"/>
          <w:sz w:val="21"/>
          <w:szCs w:val="21"/>
        </w:rPr>
        <w:t>/</w:t>
      </w:r>
      <w:r w:rsidR="00927263">
        <w:rPr>
          <w:rFonts w:eastAsia="新細明體" w:hint="eastAsia"/>
          <w:spacing w:val="0"/>
          <w:sz w:val="21"/>
          <w:szCs w:val="21"/>
          <w:lang w:eastAsia="zh-TW"/>
        </w:rPr>
        <w:t>14</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05B92453" w:rsidR="005927ED" w:rsidRPr="00927263" w:rsidRDefault="00927263" w:rsidP="005A04CE">
            <w:pPr>
              <w:rPr>
                <w:rFonts w:ascii="MS PMincho" w:eastAsia="新細明體" w:hAnsi="MS PMincho"/>
                <w:sz w:val="22"/>
                <w:szCs w:val="22"/>
                <w:lang w:eastAsia="zh-TW"/>
              </w:rPr>
            </w:pPr>
            <w:r>
              <w:rPr>
                <w:rFonts w:ascii="MS PMincho" w:eastAsia="新細明體" w:hAnsi="MS PMincho" w:hint="eastAsia"/>
                <w:sz w:val="22"/>
                <w:szCs w:val="22"/>
                <w:lang w:eastAsia="zh-TW"/>
              </w:rPr>
              <w:t>D</w:t>
            </w:r>
            <w:r>
              <w:rPr>
                <w:rFonts w:ascii="MS PMincho" w:eastAsia="新細明體" w:hAnsi="MS PMincho"/>
                <w:sz w:val="22"/>
                <w:szCs w:val="22"/>
                <w:lang w:eastAsia="zh-TW"/>
              </w:rPr>
              <w:t>epartment of Engineering and System Science, National Tsing Hua University, Taiwan</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6D7D475C" w:rsidR="005927ED" w:rsidRPr="00636A92" w:rsidRDefault="00927263" w:rsidP="005A04CE">
            <w:pPr>
              <w:rPr>
                <w:rFonts w:ascii="MS PMincho" w:eastAsia="MS PMincho" w:hAnsi="MS PMincho"/>
                <w:sz w:val="22"/>
                <w:szCs w:val="22"/>
              </w:rPr>
            </w:pPr>
            <w:r>
              <w:rPr>
                <w:rFonts w:ascii="MS PMincho" w:eastAsia="MS PMincho" w:hAnsi="MS PMincho"/>
                <w:sz w:val="22"/>
                <w:szCs w:val="22"/>
              </w:rPr>
              <w:t>Associate Professor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9DF4160" w:rsidR="005927ED" w:rsidRPr="00636A92" w:rsidRDefault="00927263" w:rsidP="005A04CE">
            <w:pPr>
              <w:rPr>
                <w:rFonts w:ascii="MS PMincho" w:eastAsia="MS PMincho" w:hAnsi="MS PMincho"/>
                <w:sz w:val="22"/>
                <w:szCs w:val="22"/>
              </w:rPr>
            </w:pPr>
            <w:r>
              <w:rPr>
                <w:rFonts w:ascii="MS PMincho" w:eastAsia="MS PMincho" w:hAnsi="MS PMincho"/>
                <w:sz w:val="22"/>
                <w:szCs w:val="22"/>
              </w:rPr>
              <w:t>Peng-Wei Chu</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16941E70" w:rsidR="00FE7BC2" w:rsidRPr="00636A92" w:rsidRDefault="00927263" w:rsidP="005A04CE">
            <w:pPr>
              <w:rPr>
                <w:rFonts w:ascii="MS PMincho" w:eastAsia="MS PMincho" w:hAnsi="MS PMincho"/>
                <w:sz w:val="22"/>
                <w:szCs w:val="22"/>
              </w:rPr>
            </w:pPr>
            <w:r>
              <w:rPr>
                <w:rFonts w:ascii="MS PMincho" w:eastAsia="MS PMincho" w:hAnsi="MS PMincho"/>
                <w:sz w:val="22"/>
                <w:szCs w:val="22"/>
              </w:rPr>
              <w:t>Magnesium Research Center (MRC), Kumamoto University</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7548DEF" w:rsidR="00FE7BC2" w:rsidRPr="00636A92" w:rsidRDefault="00927263" w:rsidP="005A04CE">
            <w:pPr>
              <w:rPr>
                <w:rFonts w:ascii="MS PMincho" w:eastAsia="MS PMincho" w:hAnsi="MS PMincho"/>
                <w:sz w:val="22"/>
                <w:szCs w:val="22"/>
              </w:rPr>
            </w:pPr>
            <w:r>
              <w:rPr>
                <w:rFonts w:ascii="MS PMincho" w:eastAsia="MS PMincho" w:hAnsi="MS PMincho"/>
                <w:sz w:val="22"/>
                <w:szCs w:val="22"/>
              </w:rPr>
              <w:t>Assistant 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60C85B3" w:rsidR="00FE7BC2" w:rsidRPr="00636A92" w:rsidRDefault="00927263" w:rsidP="005A04CE">
            <w:pPr>
              <w:rPr>
                <w:rFonts w:ascii="MS PMincho" w:eastAsia="MS PMincho" w:hAnsi="MS PMincho"/>
                <w:sz w:val="22"/>
                <w:szCs w:val="22"/>
              </w:rPr>
            </w:pPr>
            <w:r>
              <w:rPr>
                <w:rFonts w:ascii="MS PMincho" w:eastAsia="MS PMincho" w:hAnsi="MS PMincho"/>
                <w:sz w:val="22"/>
                <w:szCs w:val="22"/>
              </w:rPr>
              <w:t>Shin-ichi Inoue</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19404BA7" w:rsidR="00596D90" w:rsidRPr="00636A92" w:rsidRDefault="00927263" w:rsidP="005A04CE">
            <w:pPr>
              <w:rPr>
                <w:rFonts w:ascii="MS PMincho" w:eastAsia="MS PMincho" w:hAnsi="MS PMincho"/>
                <w:sz w:val="22"/>
                <w:szCs w:val="22"/>
              </w:rPr>
            </w:pPr>
            <w:r w:rsidRPr="00927263">
              <w:rPr>
                <w:rFonts w:ascii="MS PMincho" w:eastAsia="MS PMincho" w:hAnsi="MS PMincho"/>
                <w:sz w:val="22"/>
                <w:szCs w:val="22"/>
              </w:rPr>
              <w:t>Realizing the Degradation Behavior of Biodegradable Mg-Ca-Zn-Y-Mn Alloys in Simulated Physiological Environments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09BC0E20" w:rsidR="005A04CE" w:rsidRDefault="00927263"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Pr>
                <w:rFonts w:ascii="MS PMincho" w:eastAsia="MS PMincho" w:hAnsi="MS PMincho" w:hint="eastAsia"/>
                <w:sz w:val="22"/>
                <w:szCs w:val="22"/>
              </w:rPr>
              <w:t>■</w:t>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74B909D5" w:rsidR="00596D90" w:rsidRPr="00636A92" w:rsidRDefault="00927263" w:rsidP="005A04CE">
            <w:pPr>
              <w:ind w:right="68"/>
              <w:rPr>
                <w:rFonts w:ascii="MS PMincho" w:eastAsia="MS PMincho" w:hAnsi="MS PMincho"/>
                <w:sz w:val="22"/>
                <w:szCs w:val="22"/>
              </w:rPr>
            </w:pPr>
            <w:r>
              <w:rPr>
                <w:rFonts w:ascii="MS Mincho" w:hAnsi="MS Mincho" w:hint="eastAsia"/>
                <w:sz w:val="22"/>
                <w:szCs w:val="22"/>
              </w:rPr>
              <w:t>■</w:t>
            </w:r>
            <w:r w:rsidR="005A04CE">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1B918955" w:rsidR="00596D90" w:rsidRPr="00636A92" w:rsidRDefault="00927263" w:rsidP="005A04CE">
            <w:pPr>
              <w:ind w:right="68" w:firstLineChars="100" w:firstLine="220"/>
              <w:rPr>
                <w:rFonts w:ascii="MS PMincho" w:eastAsia="MS PMincho" w:hAnsi="MS PMincho"/>
                <w:sz w:val="22"/>
                <w:szCs w:val="22"/>
              </w:rPr>
            </w:pPr>
            <w:r>
              <w:rPr>
                <w:rFonts w:ascii="MS Mincho" w:hAnsi="MS Mincho" w:hint="eastAsia"/>
                <w:sz w:val="22"/>
                <w:szCs w:val="22"/>
              </w:rPr>
              <w:t>■</w:t>
            </w:r>
            <w:r w:rsidR="00636A92">
              <w:rPr>
                <w:rFonts w:hint="eastAsia"/>
                <w:sz w:val="22"/>
                <w:szCs w:val="22"/>
              </w:rPr>
              <w:t xml:space="preserve"> </w:t>
            </w:r>
            <w:r w:rsidR="00636A92"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3176F107" w14:textId="77777777" w:rsidR="00E34E99" w:rsidRDefault="00E34E99" w:rsidP="00E34E99">
            <w:pPr>
              <w:ind w:right="68"/>
              <w:rPr>
                <w:rFonts w:ascii="MS PMincho" w:eastAsia="MS PMincho" w:hAnsi="MS PMincho"/>
              </w:rPr>
            </w:pPr>
            <w:r>
              <w:rPr>
                <w:rFonts w:ascii="MS PMincho" w:eastAsia="MS PMincho" w:hAnsi="MS PMincho"/>
              </w:rPr>
              <w:t>(1) ThermoScientific Steri-Cycle i250 incubator</w:t>
            </w:r>
          </w:p>
          <w:p w14:paraId="3B095DCE" w14:textId="77777777" w:rsidR="00E34E99" w:rsidRDefault="00E34E99" w:rsidP="00E34E99">
            <w:pPr>
              <w:ind w:right="68"/>
              <w:rPr>
                <w:rFonts w:ascii="MS PMincho" w:eastAsia="MS PMincho" w:hAnsi="MS PMincho"/>
              </w:rPr>
            </w:pPr>
            <w:r>
              <w:rPr>
                <w:rFonts w:ascii="MS PMincho" w:eastAsia="MS PMincho" w:hAnsi="MS PMincho"/>
              </w:rPr>
              <w:t>(2) Bio-Logic SP-150e electrochemical workstation</w:t>
            </w:r>
          </w:p>
          <w:p w14:paraId="343B4059" w14:textId="3B91BE79" w:rsidR="00E34E99" w:rsidRDefault="00E34E99" w:rsidP="00E34E99">
            <w:pPr>
              <w:ind w:right="68"/>
              <w:rPr>
                <w:rFonts w:ascii="MS PMincho" w:eastAsia="MS PMincho" w:hAnsi="MS PMincho"/>
              </w:rPr>
            </w:pPr>
            <w:r>
              <w:rPr>
                <w:rFonts w:ascii="MS PMincho" w:eastAsia="MS PMincho" w:hAnsi="MS PMincho"/>
              </w:rPr>
              <w:t>(3) JEOL JSM-7610F FE-SEM</w:t>
            </w:r>
          </w:p>
          <w:p w14:paraId="624103B9" w14:textId="608658BA" w:rsidR="00A16AEA" w:rsidRPr="00E34E99" w:rsidRDefault="00A16AEA" w:rsidP="005A04CE">
            <w:pPr>
              <w:ind w:right="68"/>
              <w:rPr>
                <w:rFonts w:ascii="MS PMincho" w:eastAsia="MS PMincho" w:hAnsi="MS PMincho"/>
                <w:sz w:val="22"/>
                <w:szCs w:val="22"/>
              </w:rPr>
            </w:pP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0B7D2F">
              <w:rPr>
                <w:rFonts w:ascii="MS PMincho" w:eastAsia="MS PMincho" w:hAnsi="MS PMincho"/>
                <w:spacing w:val="1"/>
                <w:w w:val="88"/>
                <w:kern w:val="0"/>
                <w:sz w:val="22"/>
                <w:szCs w:val="22"/>
                <w:fitText w:val="1760" w:id="-1267437312"/>
              </w:rPr>
              <w:t>Total amount of gran</w:t>
            </w:r>
            <w:r w:rsidRPr="000B7D2F">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7503E0EA"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E34E99">
              <w:rPr>
                <w:rFonts w:ascii="MS PMincho" w:eastAsia="MS PMincho" w:hAnsi="MS PMincho"/>
                <w:sz w:val="22"/>
                <w:szCs w:val="22"/>
              </w:rPr>
              <w:t>240,000</w:t>
            </w:r>
            <w:r w:rsidR="00E34E99">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5312DC14"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w:t>
            </w:r>
            <w:r w:rsidR="00E34E99">
              <w:rPr>
                <w:rFonts w:ascii="MS PMincho" w:eastAsia="MS PMincho" w:hAnsi="MS PMincho"/>
                <w:sz w:val="22"/>
                <w:szCs w:val="22"/>
              </w:rPr>
              <w:t>60,000</w:t>
            </w:r>
            <w:r w:rsidR="00E34E99">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3"/>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554E613C" w14:textId="4258B189" w:rsidR="00596D90" w:rsidRPr="005927ED" w:rsidRDefault="00DA0E34" w:rsidP="005A04CE">
            <w:pPr>
              <w:pStyle w:val="a3"/>
              <w:wordWrap/>
              <w:spacing w:line="288" w:lineRule="atLeast"/>
              <w:rPr>
                <w:rFonts w:ascii="MS PMincho" w:eastAsia="MS PMincho" w:hAnsi="MS PMincho"/>
                <w:spacing w:val="0"/>
              </w:rPr>
            </w:pPr>
            <w:r w:rsidRPr="00DA0E34">
              <w:rPr>
                <w:rFonts w:ascii="MS PMincho" w:eastAsia="MS PMincho" w:hAnsi="MS PMincho"/>
                <w:spacing w:val="0"/>
              </w:rPr>
              <w:t xml:space="preserve">The Mg-1.0Ca-0.5Zn-0.1Y-0.02Mn (at.%) alloy produced by </w:t>
            </w:r>
            <w:r w:rsidR="000B7D2F">
              <w:rPr>
                <w:rFonts w:ascii="MS PMincho" w:eastAsia="MS PMincho" w:hAnsi="MS PMincho"/>
                <w:spacing w:val="0"/>
              </w:rPr>
              <w:t>the rapidly solidified powder metallurgy (RS/PM) process at MRC, Kumamoto University, was tested in</w:t>
            </w:r>
            <w:r>
              <w:rPr>
                <w:rFonts w:ascii="MS PMincho" w:eastAsia="MS PMincho" w:hAnsi="MS PMincho"/>
                <w:spacing w:val="0"/>
              </w:rPr>
              <w:t xml:space="preserve"> </w:t>
            </w:r>
            <w:r w:rsidRPr="00DA0E34">
              <w:rPr>
                <w:rFonts w:ascii="MS PMincho" w:eastAsia="MS PMincho" w:hAnsi="MS PMincho"/>
                <w:spacing w:val="0"/>
              </w:rPr>
              <w:t xml:space="preserve">Hanks’ balanced salt solution (HBSS) </w:t>
            </w:r>
            <w:r>
              <w:rPr>
                <w:rFonts w:ascii="MS PMincho" w:eastAsia="MS PMincho" w:hAnsi="MS PMincho"/>
                <w:spacing w:val="0"/>
              </w:rPr>
              <w:t xml:space="preserve">maintained </w:t>
            </w:r>
            <w:r w:rsidRPr="00DA0E34">
              <w:rPr>
                <w:rFonts w:ascii="MS PMincho" w:eastAsia="MS PMincho" w:hAnsi="MS PMincho"/>
                <w:spacing w:val="0"/>
              </w:rPr>
              <w:t>at 37</w:t>
            </w:r>
            <w:r w:rsidRPr="00DA0E34">
              <w:rPr>
                <w:rFonts w:ascii="MS PMincho" w:eastAsia="MS PMincho" w:hAnsi="MS PMincho" w:cs="Noto Sans"/>
                <w:spacing w:val="0"/>
              </w:rPr>
              <w:t>°</w:t>
            </w:r>
            <w:r w:rsidRPr="00DA0E34">
              <w:rPr>
                <w:rFonts w:ascii="MS PMincho" w:eastAsia="MS PMincho" w:hAnsi="MS PMincho"/>
                <w:spacing w:val="0"/>
              </w:rPr>
              <w:t>C</w:t>
            </w:r>
            <w:r>
              <w:rPr>
                <w:rFonts w:ascii="MS PMincho" w:eastAsia="MS PMincho" w:hAnsi="MS PMincho"/>
                <w:spacing w:val="0"/>
              </w:rPr>
              <w:t xml:space="preserve">. Through open-circuit potential (OCP) monitoring and </w:t>
            </w:r>
            <w:r w:rsidRPr="00DA0E34">
              <w:rPr>
                <w:rFonts w:ascii="MS PMincho" w:eastAsia="MS PMincho" w:hAnsi="MS PMincho"/>
                <w:i/>
                <w:iCs/>
                <w:spacing w:val="0"/>
              </w:rPr>
              <w:t>in situ</w:t>
            </w:r>
            <w:r>
              <w:rPr>
                <w:rFonts w:ascii="MS PMincho" w:eastAsia="MS PMincho" w:hAnsi="MS PMincho"/>
                <w:spacing w:val="0"/>
              </w:rPr>
              <w:t xml:space="preserve"> optical microscope (OM) observations, localized corrosion initiated early (</w:t>
            </w:r>
            <w:r w:rsidR="00373C54">
              <w:rPr>
                <w:rFonts w:ascii="MS PMincho" w:eastAsia="MS PMincho" w:hAnsi="MS PMincho"/>
                <w:spacing w:val="0"/>
              </w:rPr>
              <w:t xml:space="preserve">less than </w:t>
            </w:r>
            <w:r>
              <w:rPr>
                <w:rFonts w:ascii="MS PMincho" w:eastAsia="MS PMincho" w:hAnsi="MS PMincho"/>
                <w:spacing w:val="0"/>
              </w:rPr>
              <w:t xml:space="preserve">1 hour) on the alloy surface during immersion. Nevertheless, impedances measured by </w:t>
            </w:r>
            <w:r w:rsidR="000B7D2F">
              <w:rPr>
                <w:rFonts w:ascii="MS PMincho" w:eastAsia="MS PMincho" w:hAnsi="MS PMincho"/>
                <w:spacing w:val="0"/>
              </w:rPr>
              <w:t>electrochemical impedance spectroscopy (EIS) showed an increasing trend up to 12 hours of immersion, which is attribu</w:t>
            </w:r>
            <w:r w:rsidR="0065156B">
              <w:rPr>
                <w:rFonts w:ascii="MS PMincho" w:eastAsia="MS PMincho" w:hAnsi="MS PMincho"/>
                <w:spacing w:val="0"/>
              </w:rPr>
              <w:t xml:space="preserve">ted to the accumulation of corrosion products on the alloy. </w:t>
            </w:r>
            <w:r w:rsidR="00373C54">
              <w:rPr>
                <w:rFonts w:ascii="MS PMincho" w:eastAsia="MS PMincho" w:hAnsi="MS PMincho"/>
                <w:spacing w:val="0"/>
              </w:rPr>
              <w:t>With prolonged</w:t>
            </w:r>
            <w:r w:rsidR="0065156B">
              <w:rPr>
                <w:rFonts w:ascii="MS PMincho" w:eastAsia="MS PMincho" w:hAnsi="MS PMincho"/>
                <w:spacing w:val="0"/>
              </w:rPr>
              <w:t xml:space="preserve"> immersion, the impedance measured by EIS decreased, and the corrosion rate</w:t>
            </w:r>
            <w:r w:rsidR="000B7D2F">
              <w:rPr>
                <w:rFonts w:ascii="MS PMincho" w:eastAsia="MS PMincho" w:hAnsi="MS PMincho"/>
                <w:spacing w:val="0"/>
              </w:rPr>
              <w:t>, measured by cathodic polarization curves and Tafel extrapolation after 24 hours of immersion,</w:t>
            </w:r>
            <w:r w:rsidR="0065156B">
              <w:rPr>
                <w:rFonts w:ascii="MS PMincho" w:eastAsia="MS PMincho" w:hAnsi="MS PMincho"/>
                <w:spacing w:val="0"/>
              </w:rPr>
              <w:t xml:space="preserve"> was about 0.23 mm/year. The second phases, including Ca</w:t>
            </w:r>
            <w:r w:rsidR="0065156B" w:rsidRPr="0065156B">
              <w:rPr>
                <w:rFonts w:ascii="MS PMincho" w:eastAsia="MS PMincho" w:hAnsi="MS PMincho"/>
                <w:spacing w:val="0"/>
                <w:vertAlign w:val="subscript"/>
              </w:rPr>
              <w:t>2</w:t>
            </w:r>
            <w:r w:rsidR="0065156B">
              <w:rPr>
                <w:rFonts w:ascii="MS PMincho" w:eastAsia="MS PMincho" w:hAnsi="MS PMincho"/>
                <w:spacing w:val="0"/>
              </w:rPr>
              <w:t>Mg</w:t>
            </w:r>
            <w:r w:rsidR="0065156B" w:rsidRPr="0065156B">
              <w:rPr>
                <w:rFonts w:ascii="MS PMincho" w:eastAsia="MS PMincho" w:hAnsi="MS PMincho"/>
                <w:spacing w:val="0"/>
                <w:vertAlign w:val="subscript"/>
              </w:rPr>
              <w:t>6</w:t>
            </w:r>
            <w:r w:rsidR="0065156B">
              <w:rPr>
                <w:rFonts w:ascii="MS PMincho" w:eastAsia="MS PMincho" w:hAnsi="MS PMincho"/>
                <w:spacing w:val="0"/>
              </w:rPr>
              <w:t>Zn</w:t>
            </w:r>
            <w:r w:rsidR="0065156B" w:rsidRPr="0065156B">
              <w:rPr>
                <w:rFonts w:ascii="MS PMincho" w:eastAsia="MS PMincho" w:hAnsi="MS PMincho"/>
                <w:spacing w:val="0"/>
                <w:vertAlign w:val="subscript"/>
              </w:rPr>
              <w:t>3</w:t>
            </w:r>
            <w:r w:rsidR="0065156B">
              <w:rPr>
                <w:rFonts w:ascii="MS PMincho" w:eastAsia="MS PMincho" w:hAnsi="MS PMincho"/>
                <w:spacing w:val="0"/>
              </w:rPr>
              <w:t xml:space="preserve"> and Y-rich particles, should </w:t>
            </w:r>
            <w:r w:rsidR="00373C54">
              <w:rPr>
                <w:rFonts w:ascii="MS PMincho" w:eastAsia="MS PMincho" w:hAnsi="MS PMincho"/>
                <w:spacing w:val="0"/>
              </w:rPr>
              <w:t>mainly serve as local cathodes during corrosion. But since the second phases are small and uniformly dis</w:t>
            </w:r>
            <w:r w:rsidR="000B7D2F">
              <w:rPr>
                <w:rFonts w:ascii="MS PMincho" w:eastAsia="MS PMincho" w:hAnsi="MS PMincho"/>
                <w:spacing w:val="0"/>
              </w:rPr>
              <w:t>tributed in the alloy, they play a relatively minor role</w:t>
            </w:r>
            <w:r w:rsidR="00373C54">
              <w:rPr>
                <w:rFonts w:ascii="MS PMincho" w:eastAsia="MS PMincho" w:hAnsi="MS PMincho"/>
                <w:spacing w:val="0"/>
              </w:rPr>
              <w:t xml:space="preserve"> in the localized corrosion behavior. The initiation and propagation of localized corrosion should still </w:t>
            </w:r>
            <w:r w:rsidR="000B7D2F">
              <w:rPr>
                <w:rFonts w:ascii="MS PMincho" w:eastAsia="MS PMincho" w:hAnsi="MS PMincho"/>
                <w:spacing w:val="0"/>
              </w:rPr>
              <w:t>result from the inferior protection provided by</w:t>
            </w:r>
            <w:r w:rsidR="00373C54">
              <w:rPr>
                <w:rFonts w:ascii="MS PMincho" w:eastAsia="MS PMincho" w:hAnsi="MS PMincho"/>
                <w:spacing w:val="0"/>
              </w:rPr>
              <w:t xml:space="preserve"> the surface corrosion film and corrosion products formed on the alloy.</w:t>
            </w:r>
          </w:p>
          <w:p w14:paraId="3AF52A84" w14:textId="77777777" w:rsidR="00596D90" w:rsidRPr="005927ED" w:rsidRDefault="00596D90" w:rsidP="005A04CE">
            <w:pPr>
              <w:pStyle w:val="a3"/>
              <w:wordWrap/>
              <w:spacing w:line="288" w:lineRule="atLeast"/>
              <w:rPr>
                <w:rFonts w:ascii="MS PMincho" w:eastAsia="MS PMincho" w:hAnsi="MS PMincho"/>
                <w:spacing w:val="0"/>
              </w:rPr>
            </w:pPr>
          </w:p>
          <w:p w14:paraId="6A6CDD1F" w14:textId="3D752C3E"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2C6A3A81" w14:textId="3F1D789B" w:rsidR="00A16AEA" w:rsidRDefault="00373C54" w:rsidP="005A04CE">
            <w:pPr>
              <w:pStyle w:val="a3"/>
              <w:wordWrap/>
              <w:spacing w:line="288" w:lineRule="atLeast"/>
              <w:rPr>
                <w:rFonts w:ascii="MS PMincho" w:eastAsia="MS PMincho" w:hAnsi="MS PMincho"/>
                <w:spacing w:val="0"/>
              </w:rPr>
            </w:pPr>
            <w:r>
              <w:rPr>
                <w:rFonts w:ascii="MS PMincho" w:eastAsia="MS PMincho" w:hAnsi="MS PMincho"/>
                <w:spacing w:val="0"/>
              </w:rPr>
              <w:t xml:space="preserve">The Mg-Ca-Zn-Y-Mn alloy is a promising candidate for biodegradable implant applications. However, the decreasing </w:t>
            </w:r>
            <w:r w:rsidR="000B7D2F">
              <w:rPr>
                <w:rFonts w:ascii="MS PMincho" w:eastAsia="MS PMincho" w:hAnsi="MS PMincho"/>
                <w:spacing w:val="0"/>
              </w:rPr>
              <w:t>impedance trend during prolonged immersion indicates an acceleration of the alloy's degradation</w:t>
            </w:r>
            <w:r>
              <w:rPr>
                <w:rFonts w:ascii="MS PMincho" w:eastAsia="MS PMincho" w:hAnsi="MS PMincho"/>
                <w:spacing w:val="0"/>
              </w:rPr>
              <w:t xml:space="preserve">, which is not ideal for surgical applications. Therefore, </w:t>
            </w:r>
            <w:r w:rsidR="006E5371">
              <w:rPr>
                <w:rFonts w:ascii="MS PMincho" w:eastAsia="MS PMincho" w:hAnsi="MS PMincho"/>
                <w:spacing w:val="0"/>
              </w:rPr>
              <w:t xml:space="preserve">coating techniques, such as chemical conversion coating, anodization, </w:t>
            </w:r>
            <w:r w:rsidR="000B7D2F">
              <w:rPr>
                <w:rFonts w:ascii="MS PMincho" w:eastAsia="MS PMincho" w:hAnsi="MS PMincho"/>
                <w:spacing w:val="0"/>
              </w:rPr>
              <w:t>and micro-arc oxidation (MAO), should be explored to mitigate the alloy's degradation rate</w:t>
            </w:r>
            <w:r w:rsidR="006E5371">
              <w:rPr>
                <w:rFonts w:ascii="MS PMincho" w:eastAsia="MS PMincho" w:hAnsi="MS PMincho"/>
                <w:spacing w:val="0"/>
              </w:rPr>
              <w:t xml:space="preserve">. Furthermore, adding other alloying elements, such as Li, </w:t>
            </w:r>
            <w:r w:rsidR="000B7D2F">
              <w:rPr>
                <w:rFonts w:ascii="MS PMincho" w:eastAsia="MS PMincho" w:hAnsi="MS PMincho"/>
                <w:spacing w:val="0"/>
              </w:rPr>
              <w:t>and performing proper thermomechanical treatments to control the alloy microstructure and improve its inherent corrosion resistance</w:t>
            </w:r>
            <w:r w:rsidR="006E5371">
              <w:rPr>
                <w:rFonts w:ascii="MS PMincho" w:eastAsia="MS PMincho" w:hAnsi="MS PMincho"/>
                <w:spacing w:val="0"/>
              </w:rPr>
              <w:t xml:space="preserve"> is another option for future development. Finally, biocompatibility and cell toxicity evaluations should also be performed before clinical trials for the alloy implants.</w:t>
            </w:r>
          </w:p>
          <w:p w14:paraId="7C0C1708" w14:textId="77777777" w:rsidR="006E5371" w:rsidRPr="005927ED" w:rsidRDefault="006E5371" w:rsidP="005A04CE">
            <w:pPr>
              <w:pStyle w:val="a3"/>
              <w:wordWrap/>
              <w:spacing w:line="288" w:lineRule="atLeast"/>
              <w:rPr>
                <w:rFonts w:ascii="MS PMincho" w:eastAsia="MS PMincho" w:hAnsi="MS PMincho"/>
                <w:spacing w:val="0"/>
              </w:rPr>
            </w:pPr>
          </w:p>
          <w:p w14:paraId="1B0D6485" w14:textId="77777777" w:rsidR="00596D90" w:rsidRPr="005927ED" w:rsidRDefault="00596D90" w:rsidP="005A04CE">
            <w:pPr>
              <w:pStyle w:val="a3"/>
              <w:wordWrap/>
              <w:spacing w:line="288" w:lineRule="atLeast"/>
              <w:rPr>
                <w:rFonts w:ascii="MS PMincho" w:eastAsia="MS PMincho" w:hAnsi="MS PMincho"/>
                <w:spacing w:val="0"/>
              </w:rPr>
            </w:pPr>
          </w:p>
          <w:p w14:paraId="6BD61496" w14:textId="173100C5"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lastRenderedPageBreak/>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19F2FAEA"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p>
          <w:p w14:paraId="1D13F5E1" w14:textId="788DE46A" w:rsidR="000B7D2F" w:rsidRDefault="000B7D2F" w:rsidP="005A04CE">
            <w:pPr>
              <w:pStyle w:val="a3"/>
              <w:wordWrap/>
              <w:spacing w:line="288" w:lineRule="atLeast"/>
              <w:rPr>
                <w:rFonts w:ascii="MS PMincho" w:eastAsia="MS PMincho" w:hAnsi="MS PMincho"/>
                <w:spacing w:val="0"/>
              </w:rPr>
            </w:pPr>
            <w:r w:rsidRPr="000B7D2F">
              <w:rPr>
                <w:rFonts w:ascii="MS PMincho" w:eastAsia="MS PMincho" w:hAnsi="MS PMincho"/>
                <w:spacing w:val="0"/>
              </w:rPr>
              <w:t>S. Inoue, C.W. Sung, P.W. Chu, L.S.R. Kumara, Y. Kawamura, “Effects of Beryllium Segregation along Grain Boundaries of Y</w:t>
            </w:r>
            <w:r w:rsidRPr="000B7D2F">
              <w:rPr>
                <w:rFonts w:ascii="MS PMincho" w:eastAsia="MS PMincho" w:hAnsi="MS PMincho"/>
                <w:spacing w:val="0"/>
                <w:vertAlign w:val="subscript"/>
              </w:rPr>
              <w:t>2</w:t>
            </w:r>
            <w:r w:rsidRPr="000B7D2F">
              <w:rPr>
                <w:rFonts w:ascii="MS PMincho" w:eastAsia="MS PMincho" w:hAnsi="MS PMincho"/>
                <w:spacing w:val="0"/>
              </w:rPr>
              <w:t>O</w:t>
            </w:r>
            <w:r w:rsidRPr="000B7D2F">
              <w:rPr>
                <w:rFonts w:ascii="MS PMincho" w:eastAsia="MS PMincho" w:hAnsi="MS PMincho"/>
                <w:spacing w:val="0"/>
                <w:vertAlign w:val="subscript"/>
              </w:rPr>
              <w:t>3</w:t>
            </w:r>
            <w:r w:rsidRPr="000B7D2F">
              <w:rPr>
                <w:rFonts w:ascii="MS PMincho" w:eastAsia="MS PMincho" w:hAnsi="MS PMincho"/>
                <w:spacing w:val="0"/>
              </w:rPr>
              <w:t xml:space="preserve"> Film in Mg–Zn–Y Alloy on Nonflammability and Oxidation Resistance”, Materials Today Communications, vol. 47, no. 7, pp. 113098​, 2025.</w:t>
            </w:r>
          </w:p>
          <w:p w14:paraId="50CD0307" w14:textId="77777777" w:rsidR="000B7D2F" w:rsidRPr="005927ED" w:rsidRDefault="000B7D2F" w:rsidP="005A04CE">
            <w:pPr>
              <w:pStyle w:val="a3"/>
              <w:wordWrap/>
              <w:spacing w:line="288" w:lineRule="atLeast"/>
              <w:rPr>
                <w:rFonts w:ascii="MS PMincho" w:eastAsia="MS PMincho" w:hAnsi="MS PMincho"/>
                <w:spacing w:val="0"/>
              </w:rPr>
            </w:pPr>
          </w:p>
          <w:p w14:paraId="5BCA6966" w14:textId="6A6BDF1D"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Conference presentation</w:t>
            </w:r>
          </w:p>
          <w:p w14:paraId="7F3A43C5" w14:textId="4F6BAC5E"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International conference presentation</w:t>
            </w:r>
          </w:p>
          <w:p w14:paraId="2E60A54F" w14:textId="44BA6B2C" w:rsidR="000B7D2F" w:rsidRDefault="000B7D2F" w:rsidP="005A04CE">
            <w:pPr>
              <w:pStyle w:val="a3"/>
              <w:wordWrap/>
              <w:spacing w:line="288" w:lineRule="atLeast"/>
              <w:rPr>
                <w:rFonts w:ascii="MS PMincho" w:eastAsia="MS PMincho" w:hAnsi="MS PMincho"/>
                <w:spacing w:val="0"/>
              </w:rPr>
            </w:pPr>
            <w:r>
              <w:rPr>
                <w:rFonts w:ascii="MS PMincho" w:eastAsia="MS PMincho" w:hAnsi="MS PMincho"/>
                <w:spacing w:val="0"/>
              </w:rPr>
              <w:t xml:space="preserve">1. </w:t>
            </w:r>
            <w:r w:rsidRPr="000B7D2F">
              <w:rPr>
                <w:rFonts w:ascii="MS PMincho" w:eastAsia="MS PMincho" w:hAnsi="MS PMincho"/>
                <w:spacing w:val="0"/>
              </w:rPr>
              <w:t>C.H. Yang, C.W. Sung, C.W. Fan, C. Chen, P.W. Chu, "Comparing the Corrosion Behavior and Microstructure of a Biodegradable WE43 Mg Alloy in Hanks’ Balanced Salt Solution under Different CO</w:t>
            </w:r>
            <w:r w:rsidRPr="000B7D2F">
              <w:rPr>
                <w:rFonts w:ascii="MS PMincho" w:eastAsia="MS PMincho" w:hAnsi="MS PMincho"/>
                <w:spacing w:val="0"/>
                <w:vertAlign w:val="subscript"/>
              </w:rPr>
              <w:t>2</w:t>
            </w:r>
            <w:r w:rsidRPr="000B7D2F">
              <w:rPr>
                <w:rFonts w:ascii="MS PMincho" w:eastAsia="MS PMincho" w:hAnsi="MS PMincho"/>
                <w:spacing w:val="0"/>
              </w:rPr>
              <w:t xml:space="preserve"> Conditions", 2025 ICGET-Tw, 2025.</w:t>
            </w:r>
          </w:p>
          <w:p w14:paraId="05C3BCC0" w14:textId="51CD83AC" w:rsidR="000B7D2F" w:rsidRDefault="000B7D2F" w:rsidP="005A04CE">
            <w:pPr>
              <w:pStyle w:val="a3"/>
              <w:wordWrap/>
              <w:spacing w:line="288" w:lineRule="atLeast"/>
              <w:rPr>
                <w:rFonts w:ascii="MS PMincho" w:eastAsia="MS PMincho" w:hAnsi="MS PMincho"/>
                <w:spacing w:val="0"/>
              </w:rPr>
            </w:pPr>
            <w:r>
              <w:rPr>
                <w:rFonts w:ascii="MS PMincho" w:eastAsia="MS PMincho" w:hAnsi="MS PMincho"/>
                <w:spacing w:val="0"/>
              </w:rPr>
              <w:t xml:space="preserve">2. </w:t>
            </w:r>
            <w:r w:rsidRPr="000B7D2F">
              <w:rPr>
                <w:rFonts w:ascii="MS PMincho" w:eastAsia="MS PMincho" w:hAnsi="MS PMincho"/>
                <w:spacing w:val="0"/>
              </w:rPr>
              <w:t>R.S. Wu, H.Y. Chang, C.W. Sung, C.F. Lu, P.W. Chu, "Mitigation and Control of the Degradation Rate of Biodegradable WE43 Mg Alloy by Tuning the Ca-P Chemical Conversion Coating Processes", 248th ECS Meeting, 2025.</w:t>
            </w:r>
          </w:p>
          <w:p w14:paraId="48A7D4C9" w14:textId="7A6601A1" w:rsidR="000B7D2F" w:rsidRDefault="000B7D2F" w:rsidP="005A04CE">
            <w:pPr>
              <w:pStyle w:val="a3"/>
              <w:wordWrap/>
              <w:spacing w:line="288" w:lineRule="atLeast"/>
              <w:rPr>
                <w:rFonts w:ascii="MS PMincho" w:eastAsia="MS PMincho" w:hAnsi="MS PMincho"/>
                <w:spacing w:val="0"/>
              </w:rPr>
            </w:pPr>
            <w:r>
              <w:rPr>
                <w:rFonts w:ascii="MS PMincho" w:eastAsia="MS PMincho" w:hAnsi="MS PMincho"/>
                <w:spacing w:val="0"/>
              </w:rPr>
              <w:t xml:space="preserve">3. </w:t>
            </w:r>
            <w:r w:rsidRPr="000B7D2F">
              <w:rPr>
                <w:rFonts w:ascii="MS PMincho" w:eastAsia="MS PMincho" w:hAnsi="MS PMincho"/>
                <w:spacing w:val="0"/>
              </w:rPr>
              <w:t>H.Y. Chang, R.S. Wu, P.W. Chu, "Effect of Pretreatment Processes on the Ca-P Chemical Conversion Coating on Biodegradable ZX21 Mg Alloy", 247th ECS Meeting, 2025.</w:t>
            </w:r>
          </w:p>
          <w:p w14:paraId="43BEB1A3" w14:textId="77777777" w:rsidR="000B7D2F" w:rsidRPr="005927ED" w:rsidRDefault="000B7D2F" w:rsidP="005A04CE">
            <w:pPr>
              <w:pStyle w:val="a3"/>
              <w:wordWrap/>
              <w:spacing w:line="288" w:lineRule="atLeast"/>
              <w:rPr>
                <w:rFonts w:ascii="MS PMincho" w:eastAsia="MS PMincho" w:hAnsi="MS PMincho"/>
                <w:spacing w:val="0"/>
              </w:rPr>
            </w:pPr>
          </w:p>
          <w:p w14:paraId="7946D4F9" w14:textId="6FF7F57B" w:rsidR="00596D90"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Invited lecture</w:t>
            </w:r>
          </w:p>
          <w:p w14:paraId="7A1FB2E0" w14:textId="07761C08" w:rsidR="000B7D2F" w:rsidRDefault="000B7D2F" w:rsidP="005A04CE">
            <w:pPr>
              <w:pStyle w:val="a3"/>
              <w:wordWrap/>
              <w:spacing w:line="288" w:lineRule="atLeast"/>
              <w:rPr>
                <w:rFonts w:ascii="MS PMincho" w:eastAsia="MS PMincho" w:hAnsi="MS PMincho"/>
                <w:spacing w:val="0"/>
              </w:rPr>
            </w:pPr>
            <w:r>
              <w:rPr>
                <w:rFonts w:ascii="MS PMincho" w:eastAsia="MS PMincho" w:hAnsi="MS PMincho"/>
                <w:spacing w:val="0"/>
              </w:rPr>
              <w:t>Peng-Wei Chu, “</w:t>
            </w:r>
            <w:r w:rsidRPr="000B7D2F">
              <w:rPr>
                <w:rFonts w:ascii="MS PMincho" w:eastAsia="MS PMincho" w:hAnsi="MS PMincho"/>
                <w:spacing w:val="0"/>
              </w:rPr>
              <w:t>Linking the Microstructure and Corrosion Behaviors of Biodegradable Mg Alloys in Simulated Physiological Environments</w:t>
            </w:r>
            <w:r>
              <w:rPr>
                <w:rFonts w:ascii="MS PMincho" w:eastAsia="MS PMincho" w:hAnsi="MS PMincho"/>
                <w:spacing w:val="0"/>
              </w:rPr>
              <w:t xml:space="preserve">”, </w:t>
            </w:r>
            <w:r w:rsidRPr="000B7D2F">
              <w:rPr>
                <w:rFonts w:ascii="MS PMincho" w:eastAsia="MS PMincho" w:hAnsi="MS PMincho"/>
                <w:spacing w:val="0"/>
              </w:rPr>
              <w:t>Taiwan-Japan Advanced Light Metals Symposium 2025</w:t>
            </w:r>
            <w:r>
              <w:rPr>
                <w:rFonts w:ascii="MS PMincho" w:eastAsia="MS PMincho" w:hAnsi="MS PMincho"/>
                <w:spacing w:val="0"/>
              </w:rPr>
              <w:t>.</w:t>
            </w:r>
          </w:p>
          <w:p w14:paraId="787B62F2" w14:textId="77777777" w:rsidR="000B7D2F" w:rsidRPr="005927ED" w:rsidRDefault="000B7D2F" w:rsidP="005A04CE">
            <w:pPr>
              <w:pStyle w:val="a3"/>
              <w:wordWrap/>
              <w:spacing w:line="288" w:lineRule="atLeast"/>
              <w:rPr>
                <w:rFonts w:ascii="MS PMincho" w:eastAsia="MS PMincho" w:hAnsi="MS PMincho"/>
                <w:spacing w:val="0"/>
              </w:rPr>
            </w:pPr>
          </w:p>
          <w:p w14:paraId="67235B3B" w14:textId="4FB1D1F0" w:rsid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Award</w:t>
            </w:r>
          </w:p>
          <w:p w14:paraId="0876B70E" w14:textId="77777777" w:rsidR="000B7D2F" w:rsidRDefault="005927ED" w:rsidP="000B7D2F">
            <w:pPr>
              <w:pStyle w:val="a3"/>
              <w:wordWrap/>
              <w:spacing w:line="288" w:lineRule="atLeast"/>
              <w:rPr>
                <w:rFonts w:ascii="MS PMincho" w:eastAsia="MS PMincho" w:hAnsi="MS PMincho"/>
                <w:spacing w:val="0"/>
                <w:szCs w:val="28"/>
              </w:rPr>
            </w:pPr>
            <w:r w:rsidRPr="005927ED">
              <w:rPr>
                <w:rFonts w:ascii="MS PMincho" w:eastAsia="MS PMincho" w:hAnsi="MS PMincho" w:hint="eastAsia"/>
                <w:spacing w:val="0"/>
              </w:rPr>
              <w:t xml:space="preserve">　</w:t>
            </w:r>
            <w:r w:rsidR="00596D90" w:rsidRPr="005927ED">
              <w:rPr>
                <w:rFonts w:ascii="MS PMincho" w:eastAsia="MS PMincho" w:hAnsi="MS PMincho" w:hint="eastAsia"/>
                <w:spacing w:val="0"/>
                <w:szCs w:val="28"/>
              </w:rPr>
              <w:t>●</w:t>
            </w:r>
            <w:r w:rsidR="00C13F4C" w:rsidRPr="00C13F4C">
              <w:rPr>
                <w:rFonts w:ascii="MS PMincho" w:eastAsia="MS PMincho" w:hAnsi="MS PMincho"/>
                <w:spacing w:val="0"/>
                <w:szCs w:val="28"/>
              </w:rPr>
              <w:t>Acquired external funds</w:t>
            </w:r>
            <w:r w:rsidR="00DE4412">
              <w:rPr>
                <w:rFonts w:ascii="MS PMincho" w:eastAsia="MS PMincho" w:hAnsi="MS PMincho" w:hint="eastAsia"/>
                <w:spacing w:val="0"/>
                <w:szCs w:val="28"/>
              </w:rPr>
              <w:t xml:space="preserve"> 　　etc.</w:t>
            </w:r>
          </w:p>
          <w:p w14:paraId="2B1D7F3D" w14:textId="72A86BC8" w:rsidR="000B7D2F" w:rsidRPr="005927ED" w:rsidRDefault="000B7D2F" w:rsidP="000B7D2F">
            <w:pPr>
              <w:pStyle w:val="a3"/>
              <w:wordWrap/>
              <w:spacing w:line="288" w:lineRule="atLeast"/>
              <w:rPr>
                <w:rFonts w:ascii="MS PMincho" w:eastAsia="MS PMincho" w:hAnsi="MS PMincho"/>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3"/>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3"/>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B3BA" w14:textId="77777777" w:rsidR="00084D91" w:rsidRDefault="00084D91">
      <w:r>
        <w:separator/>
      </w:r>
    </w:p>
  </w:endnote>
  <w:endnote w:type="continuationSeparator" w:id="0">
    <w:p w14:paraId="1CB37E8F" w14:textId="77777777" w:rsidR="00084D91" w:rsidRDefault="0008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02FF" w:usb1="4000001F" w:usb2="08000029"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03E4" w14:textId="77777777" w:rsidR="00084D91" w:rsidRDefault="00084D91">
      <w:r>
        <w:separator/>
      </w:r>
    </w:p>
  </w:footnote>
  <w:footnote w:type="continuationSeparator" w:id="0">
    <w:p w14:paraId="101C3021" w14:textId="77777777" w:rsidR="00084D91" w:rsidRDefault="0008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yMDS2ADFAtJKOUnBqcXFmfh5IgVEtAAIP6FAsAAAA"/>
  </w:docVars>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84D91"/>
    <w:rsid w:val="00095FB6"/>
    <w:rsid w:val="000A7A3D"/>
    <w:rsid w:val="000B09FE"/>
    <w:rsid w:val="000B7D2F"/>
    <w:rsid w:val="000C350E"/>
    <w:rsid w:val="000F02B2"/>
    <w:rsid w:val="000F07D5"/>
    <w:rsid w:val="00110ABF"/>
    <w:rsid w:val="0011423D"/>
    <w:rsid w:val="00115A06"/>
    <w:rsid w:val="00115C63"/>
    <w:rsid w:val="00127325"/>
    <w:rsid w:val="0014537D"/>
    <w:rsid w:val="001519A9"/>
    <w:rsid w:val="00160C01"/>
    <w:rsid w:val="001673FE"/>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3C54"/>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64711"/>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04C2"/>
    <w:rsid w:val="005866C8"/>
    <w:rsid w:val="005927ED"/>
    <w:rsid w:val="00596D90"/>
    <w:rsid w:val="005A04CE"/>
    <w:rsid w:val="005B0D1E"/>
    <w:rsid w:val="005C15A9"/>
    <w:rsid w:val="005E3E12"/>
    <w:rsid w:val="005F7A9B"/>
    <w:rsid w:val="006072A7"/>
    <w:rsid w:val="00636A92"/>
    <w:rsid w:val="0065156B"/>
    <w:rsid w:val="00657E4A"/>
    <w:rsid w:val="00663CBD"/>
    <w:rsid w:val="00670540"/>
    <w:rsid w:val="00677590"/>
    <w:rsid w:val="00691043"/>
    <w:rsid w:val="0069343D"/>
    <w:rsid w:val="00694C20"/>
    <w:rsid w:val="006A41DE"/>
    <w:rsid w:val="006B0B4F"/>
    <w:rsid w:val="006C3289"/>
    <w:rsid w:val="006D49C0"/>
    <w:rsid w:val="006E1155"/>
    <w:rsid w:val="006E5371"/>
    <w:rsid w:val="006F4346"/>
    <w:rsid w:val="00700B53"/>
    <w:rsid w:val="00700CE5"/>
    <w:rsid w:val="0070455B"/>
    <w:rsid w:val="00706F69"/>
    <w:rsid w:val="0071088A"/>
    <w:rsid w:val="00726929"/>
    <w:rsid w:val="0074560D"/>
    <w:rsid w:val="007639CD"/>
    <w:rsid w:val="007725D9"/>
    <w:rsid w:val="00773BD6"/>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D165D"/>
    <w:rsid w:val="008D5347"/>
    <w:rsid w:val="008D7C8A"/>
    <w:rsid w:val="008E713D"/>
    <w:rsid w:val="008E7C24"/>
    <w:rsid w:val="008F5DD4"/>
    <w:rsid w:val="00903249"/>
    <w:rsid w:val="00904012"/>
    <w:rsid w:val="0090662A"/>
    <w:rsid w:val="00927263"/>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1927"/>
    <w:rsid w:val="00A97EBC"/>
    <w:rsid w:val="00AA1B3A"/>
    <w:rsid w:val="00AB11BE"/>
    <w:rsid w:val="00AC7935"/>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BF7D62"/>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A0E34"/>
    <w:rsid w:val="00DB1B60"/>
    <w:rsid w:val="00DB4369"/>
    <w:rsid w:val="00DB4924"/>
    <w:rsid w:val="00DD0428"/>
    <w:rsid w:val="00DD5F5D"/>
    <w:rsid w:val="00DE4412"/>
    <w:rsid w:val="00DF4E75"/>
    <w:rsid w:val="00E152D1"/>
    <w:rsid w:val="00E34E99"/>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MS Gothic"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頁首 字元"/>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Pages>
  <Words>729</Words>
  <Characters>4158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朱鵬維</cp:lastModifiedBy>
  <cp:revision>10</cp:revision>
  <cp:lastPrinted>2023-04-26T09:24:00Z</cp:lastPrinted>
  <dcterms:created xsi:type="dcterms:W3CDTF">2024-04-17T05:00:00Z</dcterms:created>
  <dcterms:modified xsi:type="dcterms:W3CDTF">2026-05-14T10:31:00Z</dcterms:modified>
</cp:coreProperties>
</file>